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C499A" w14:textId="77777777"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14:paraId="4D106DEA" w14:textId="77777777"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0A55917D"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0FBB15F8"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r>
        <w:fldChar w:fldCharType="begin"/>
      </w:r>
      <w:r w:rsidRPr="00103006">
        <w:rPr>
          <w:lang w:val="pl-PL"/>
        </w:rPr>
        <w:instrText>HYPERLINK "mailto:daneosobowe@orlen.pl"</w:instrText>
      </w:r>
      <w:r>
        <w:fldChar w:fldCharType="separate"/>
      </w:r>
      <w:r w:rsidRPr="00D1074E">
        <w:rPr>
          <w:rStyle w:val="Hipercze"/>
          <w:rFonts w:ascii="Arial" w:hAnsi="Arial" w:cs="Arial"/>
          <w:sz w:val="20"/>
          <w:szCs w:val="20"/>
          <w:lang w:val="pl-PL"/>
        </w:rPr>
        <w:t>daneosobowe@orlen.pl</w:t>
      </w:r>
      <w:r>
        <w:fldChar w:fldCharType="end"/>
      </w:r>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r>
        <w:fldChar w:fldCharType="begin"/>
      </w:r>
      <w:r w:rsidRPr="00103006">
        <w:rPr>
          <w:lang w:val="pl-PL"/>
        </w:rPr>
        <w:instrText>HYPERLINK "http://www.orlen.pl"</w:instrText>
      </w:r>
      <w:r>
        <w:fldChar w:fldCharType="separate"/>
      </w:r>
      <w:r w:rsidRPr="00D1074E">
        <w:rPr>
          <w:rStyle w:val="Hipercze"/>
          <w:rFonts w:ascii="Arial" w:hAnsi="Arial" w:cs="Arial"/>
          <w:sz w:val="20"/>
          <w:szCs w:val="20"/>
          <w:lang w:val="pl-PL"/>
        </w:rPr>
        <w:t>www.orlen.pl</w:t>
      </w:r>
      <w:r>
        <w:fldChar w:fldCharType="end"/>
      </w:r>
      <w:r w:rsidRPr="00D1074E">
        <w:rPr>
          <w:rFonts w:ascii="Arial" w:hAnsi="Arial" w:cs="Arial"/>
          <w:sz w:val="20"/>
          <w:szCs w:val="20"/>
          <w:lang w:val="pl-PL"/>
        </w:rPr>
        <w:t xml:space="preserve"> w zakładce „Kontakty”.</w:t>
      </w:r>
    </w:p>
    <w:p w14:paraId="17468F5B"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08F65BBF"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6E2A5F03"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14:paraId="6A8BF1DE"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15CAD48D"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14:paraId="2148E537"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w:t>
      </w:r>
      <w:r w:rsidRPr="00D1074E">
        <w:rPr>
          <w:rFonts w:ascii="Arial" w:hAnsi="Arial" w:cs="Arial"/>
          <w:sz w:val="20"/>
          <w:szCs w:val="20"/>
          <w:lang w:val="pl-PL"/>
        </w:rPr>
        <w:lastRenderedPageBreak/>
        <w:t>dobrego imienia ORLEN oraz GK ORLEN, realizacji celów ekonomicznych poprzez ograniczenie skonsolidowanego ryzyka GK ORLEN.</w:t>
      </w:r>
    </w:p>
    <w:p w14:paraId="048E271B"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5C7EEC28"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0C36A0F6"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26C9BC75"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244FAC19"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14:paraId="1F89FB86"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0B82FF40"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3B86FD3D" w14:textId="77777777"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44ADCF79"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14:paraId="5AFD2547" w14:textId="77777777"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14:paraId="3C8C0A35"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14:paraId="63705EEE"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14:paraId="68F6BBD5"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5C90BF61"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380AE6BF" w14:textId="77777777" w:rsidR="00D52439" w:rsidRPr="00D1074E" w:rsidRDefault="00D52439" w:rsidP="00D52439">
      <w:pPr>
        <w:spacing w:line="276" w:lineRule="auto"/>
        <w:jc w:val="center"/>
        <w:rPr>
          <w:rFonts w:ascii="Arial" w:hAnsi="Arial" w:cs="Arial"/>
          <w:b/>
          <w:sz w:val="20"/>
          <w:szCs w:val="20"/>
        </w:rPr>
      </w:pPr>
    </w:p>
    <w:p w14:paraId="1543068E"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475F2EE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14:paraId="29975266"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14:paraId="2D40DDE9"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14:paraId="2C8DF8B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5D8BE38A"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5AA51B8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0B1D96DC"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14:paraId="09312BB9"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3E671BB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149F2E93"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14:paraId="39CA70E1"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26593969"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47FC4A89" w14:textId="77777777"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14:paraId="34C437FF"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14:paraId="66A4FD63"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14:paraId="6299B14E"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14:paraId="3D33DE38"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09E0DEDE" w14:textId="77777777" w:rsidR="00D52439" w:rsidRPr="00D1074E" w:rsidRDefault="00D52439" w:rsidP="00D52439">
      <w:pPr>
        <w:spacing w:line="276" w:lineRule="auto"/>
        <w:jc w:val="center"/>
        <w:rPr>
          <w:rFonts w:ascii="Arial" w:hAnsi="Arial" w:cs="Arial"/>
          <w:b/>
          <w:sz w:val="20"/>
          <w:szCs w:val="20"/>
        </w:rPr>
      </w:pPr>
    </w:p>
    <w:p w14:paraId="12D299EE"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34680A8A" w14:textId="77777777" w:rsidR="00D52439" w:rsidRPr="00D1074E" w:rsidRDefault="00D52439" w:rsidP="00D52439">
      <w:pPr>
        <w:spacing w:line="276" w:lineRule="auto"/>
        <w:rPr>
          <w:rFonts w:ascii="Arial" w:hAnsi="Arial" w:cs="Arial"/>
          <w:sz w:val="20"/>
          <w:szCs w:val="20"/>
        </w:rPr>
      </w:pPr>
    </w:p>
    <w:p w14:paraId="16692A20"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14:paraId="5B81C6DE"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14:paraId="1CB72A29"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39D935DF"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5CF470B8"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28953257"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7EB8F1DE" w14:textId="77777777"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1823CFAE"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14:paraId="30E30DC5" w14:textId="77777777"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14:paraId="119403F4" w14:textId="77777777" w:rsidR="00D52439" w:rsidRPr="00D1074E" w:rsidRDefault="00D52439" w:rsidP="00D52439">
      <w:pPr>
        <w:spacing w:line="276" w:lineRule="auto"/>
        <w:jc w:val="center"/>
        <w:rPr>
          <w:rFonts w:ascii="Arial" w:hAnsi="Arial" w:cs="Arial"/>
          <w:bCs/>
          <w:color w:val="FF0000"/>
          <w:sz w:val="20"/>
          <w:szCs w:val="20"/>
        </w:rPr>
      </w:pPr>
    </w:p>
    <w:p w14:paraId="766862C2"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14:paraId="1DA19262"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14:paraId="5A796E46"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F8867DD"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14:paraId="2F0593D4"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04050050"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4EE9BDCD"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782338E9" w14:textId="77777777" w:rsidR="00E62C7C" w:rsidRDefault="00E62C7C"/>
    <w:sectPr w:rsidR="00E62C7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80244" w14:textId="77777777" w:rsidR="00176F17" w:rsidRDefault="00176F17" w:rsidP="00D52439">
      <w:pPr>
        <w:spacing w:after="0" w:line="240" w:lineRule="auto"/>
      </w:pPr>
      <w:r>
        <w:separator/>
      </w:r>
    </w:p>
  </w:endnote>
  <w:endnote w:type="continuationSeparator" w:id="0">
    <w:p w14:paraId="2AB466FD" w14:textId="77777777" w:rsidR="00176F17" w:rsidRDefault="00176F17"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96553"/>
      <w:docPartObj>
        <w:docPartGallery w:val="Page Numbers (Bottom of Page)"/>
        <w:docPartUnique/>
      </w:docPartObj>
    </w:sdtPr>
    <w:sdtEndPr>
      <w:rPr>
        <w:sz w:val="16"/>
        <w:szCs w:val="16"/>
      </w:rPr>
    </w:sdtEndPr>
    <w:sdtContent>
      <w:p w14:paraId="2BFB945C" w14:textId="77777777"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A732DE">
          <w:rPr>
            <w:noProof/>
            <w:sz w:val="16"/>
            <w:szCs w:val="16"/>
          </w:rPr>
          <w:t>5</w:t>
        </w:r>
        <w:r w:rsidRPr="00D52439">
          <w:rPr>
            <w:sz w:val="16"/>
            <w:szCs w:val="16"/>
          </w:rPr>
          <w:fldChar w:fldCharType="end"/>
        </w:r>
      </w:p>
    </w:sdtContent>
  </w:sdt>
  <w:p w14:paraId="6D774517" w14:textId="77777777"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72FE79" w14:textId="77777777" w:rsidR="00176F17" w:rsidRDefault="00176F17" w:rsidP="00D52439">
      <w:pPr>
        <w:spacing w:after="0" w:line="240" w:lineRule="auto"/>
      </w:pPr>
      <w:r>
        <w:separator/>
      </w:r>
    </w:p>
  </w:footnote>
  <w:footnote w:type="continuationSeparator" w:id="0">
    <w:p w14:paraId="4B9B1682" w14:textId="77777777" w:rsidR="00176F17" w:rsidRDefault="00176F17" w:rsidP="00D52439">
      <w:pPr>
        <w:spacing w:after="0" w:line="240" w:lineRule="auto"/>
      </w:pPr>
      <w:r>
        <w:continuationSeparator/>
      </w:r>
    </w:p>
  </w:footnote>
  <w:footnote w:id="1">
    <w:p w14:paraId="227E7B31" w14:textId="77777777"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C7F1D" w14:textId="660DFCA9" w:rsidR="001C0F73" w:rsidRDefault="001C0F73" w:rsidP="001C0F73">
    <w:pPr>
      <w:pStyle w:val="Nagwek"/>
      <w:jc w:val="right"/>
    </w:pPr>
    <w:r>
      <w:t>Załącznik nr 1</w:t>
    </w:r>
    <w:r w:rsidR="00103006">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6074174">
    <w:abstractNumId w:val="5"/>
  </w:num>
  <w:num w:numId="2" w16cid:durableId="641890910">
    <w:abstractNumId w:val="6"/>
  </w:num>
  <w:num w:numId="3" w16cid:durableId="2087342785">
    <w:abstractNumId w:val="0"/>
  </w:num>
  <w:num w:numId="4" w16cid:durableId="196894475">
    <w:abstractNumId w:val="7"/>
  </w:num>
  <w:num w:numId="5" w16cid:durableId="1631084413">
    <w:abstractNumId w:val="1"/>
  </w:num>
  <w:num w:numId="6" w16cid:durableId="2025935885">
    <w:abstractNumId w:val="2"/>
  </w:num>
  <w:num w:numId="7" w16cid:durableId="1738816464">
    <w:abstractNumId w:val="4"/>
  </w:num>
  <w:num w:numId="8" w16cid:durableId="1818381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39"/>
    <w:rsid w:val="00103006"/>
    <w:rsid w:val="00176F17"/>
    <w:rsid w:val="001C0F73"/>
    <w:rsid w:val="001D01E5"/>
    <w:rsid w:val="0040123D"/>
    <w:rsid w:val="00A07C21"/>
    <w:rsid w:val="00A732DE"/>
    <w:rsid w:val="00C06B95"/>
    <w:rsid w:val="00D52439"/>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F618"/>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aneosobowe@orle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1414</Words>
  <Characters>8488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Górniak Natalia (ANW)</cp:lastModifiedBy>
  <cp:revision>6</cp:revision>
  <dcterms:created xsi:type="dcterms:W3CDTF">2023-06-13T09:04:00Z</dcterms:created>
  <dcterms:modified xsi:type="dcterms:W3CDTF">2025-10-07T11:01:00Z</dcterms:modified>
</cp:coreProperties>
</file>